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B781A" w14:textId="70C4E59C" w:rsidR="00CD0F41" w:rsidRPr="00997670" w:rsidRDefault="00CD0F41" w:rsidP="00CD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kern w:val="0"/>
          <w:sz w:val="28"/>
          <w:szCs w:val="28"/>
        </w:rPr>
      </w:pPr>
      <w:r w:rsidRPr="00997670">
        <w:rPr>
          <w:rFonts w:ascii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t>Alternatyvūs skaitmeninės pertvarkos finansavimo šaltiniai</w:t>
      </w:r>
      <w:bookmarkStart w:id="0" w:name="_GoBack"/>
      <w:bookmarkEnd w:id="0"/>
    </w:p>
    <w:p w14:paraId="159B3053" w14:textId="77777777" w:rsidR="00CD0F41" w:rsidRPr="00997670" w:rsidRDefault="00CD0F41" w:rsidP="00CD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kern w:val="0"/>
        </w:rPr>
      </w:pPr>
    </w:p>
    <w:tbl>
      <w:tblPr>
        <w:tblStyle w:val="Lentelstinklelis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266"/>
        <w:gridCol w:w="6662"/>
        <w:gridCol w:w="3544"/>
      </w:tblGrid>
      <w:tr w:rsidR="00CD0F41" w:rsidRPr="00997670" w14:paraId="134BB444" w14:textId="77777777" w:rsidTr="00CA4D15">
        <w:trPr>
          <w:trHeight w:val="637"/>
        </w:trPr>
        <w:tc>
          <w:tcPr>
            <w:tcW w:w="704" w:type="dxa"/>
          </w:tcPr>
          <w:p w14:paraId="7D99A070" w14:textId="77777777" w:rsidR="00CD0F41" w:rsidRPr="00997670" w:rsidRDefault="00CD0F4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Eil nr.</w:t>
            </w:r>
          </w:p>
        </w:tc>
        <w:tc>
          <w:tcPr>
            <w:tcW w:w="1559" w:type="dxa"/>
          </w:tcPr>
          <w:p w14:paraId="09ACE30D" w14:textId="77777777" w:rsidR="00CD0F41" w:rsidRPr="00997670" w:rsidRDefault="00CD0F4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Šaltinis</w:t>
            </w:r>
          </w:p>
          <w:p w14:paraId="488F0EAA" w14:textId="77777777" w:rsidR="00CD0F41" w:rsidRPr="00997670" w:rsidRDefault="00CD0F4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  <w:t>(su nuoroda)</w:t>
            </w:r>
          </w:p>
        </w:tc>
        <w:tc>
          <w:tcPr>
            <w:tcW w:w="3266" w:type="dxa"/>
          </w:tcPr>
          <w:p w14:paraId="3332584A" w14:textId="77777777" w:rsidR="00CD0F41" w:rsidRPr="00997670" w:rsidRDefault="00CD0F4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Kam skirtas?</w:t>
            </w:r>
          </w:p>
        </w:tc>
        <w:tc>
          <w:tcPr>
            <w:tcW w:w="6662" w:type="dxa"/>
          </w:tcPr>
          <w:p w14:paraId="2D71E221" w14:textId="77777777" w:rsidR="00CD0F41" w:rsidRPr="00997670" w:rsidRDefault="00CD0F4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Artimiausi kvietimai</w:t>
            </w:r>
          </w:p>
          <w:p w14:paraId="04FCDE43" w14:textId="77777777" w:rsidR="00CD0F41" w:rsidRPr="00997670" w:rsidRDefault="00CD0F4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  <w:t>(su nuoroda)</w:t>
            </w:r>
          </w:p>
          <w:p w14:paraId="73E774BF" w14:textId="77777777" w:rsidR="00CD0F41" w:rsidRPr="00997670" w:rsidRDefault="00CD0F4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  <w:t>nuo 2023 m. liepos 1 d.</w:t>
            </w:r>
          </w:p>
        </w:tc>
        <w:tc>
          <w:tcPr>
            <w:tcW w:w="3544" w:type="dxa"/>
          </w:tcPr>
          <w:p w14:paraId="1176BD60" w14:textId="77777777" w:rsidR="00CD0F41" w:rsidRPr="00997670" w:rsidRDefault="00CD0F4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Kvietimų sąlygos/apribojimai</w:t>
            </w:r>
          </w:p>
        </w:tc>
      </w:tr>
      <w:tr w:rsidR="009112F1" w:rsidRPr="00997670" w14:paraId="4C97C789" w14:textId="77777777" w:rsidTr="00CA4D15">
        <w:trPr>
          <w:trHeight w:val="180"/>
        </w:trPr>
        <w:tc>
          <w:tcPr>
            <w:tcW w:w="704" w:type="dxa"/>
            <w:vMerge w:val="restart"/>
          </w:tcPr>
          <w:p w14:paraId="43C9D62D" w14:textId="6387C9EA" w:rsidR="009112F1" w:rsidRPr="00997670" w:rsidRDefault="009112F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1.</w:t>
            </w:r>
          </w:p>
        </w:tc>
        <w:tc>
          <w:tcPr>
            <w:tcW w:w="1559" w:type="dxa"/>
            <w:vMerge w:val="restart"/>
          </w:tcPr>
          <w:p w14:paraId="312A5F41" w14:textId="685DC847" w:rsidR="009112F1" w:rsidRPr="00997670" w:rsidRDefault="00F4561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9112F1" w:rsidRPr="00997670">
                <w:rPr>
                  <w:rStyle w:val="Hipersaitas"/>
                  <w:rFonts w:ascii="Times New Roman" w:hAnsi="Times New Roman" w:cs="Times New Roman"/>
                </w:rPr>
                <w:t xml:space="preserve">Digital </w:t>
              </w:r>
              <w:proofErr w:type="spellStart"/>
              <w:r w:rsidR="009112F1" w:rsidRPr="00997670">
                <w:rPr>
                  <w:rStyle w:val="Hipersaitas"/>
                  <w:rFonts w:ascii="Times New Roman" w:hAnsi="Times New Roman" w:cs="Times New Roman"/>
                </w:rPr>
                <w:t>Europe</w:t>
              </w:r>
              <w:proofErr w:type="spellEnd"/>
              <w:r w:rsidR="009112F1" w:rsidRPr="00997670">
                <w:rPr>
                  <w:rStyle w:val="Hipersaitas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112F1" w:rsidRPr="00997670">
                <w:rPr>
                  <w:rStyle w:val="Hipersaitas"/>
                  <w:rFonts w:ascii="Times New Roman" w:hAnsi="Times New Roman" w:cs="Times New Roman"/>
                </w:rPr>
                <w:t>Programme</w:t>
              </w:r>
              <w:proofErr w:type="spellEnd"/>
            </w:hyperlink>
          </w:p>
        </w:tc>
        <w:tc>
          <w:tcPr>
            <w:tcW w:w="3266" w:type="dxa"/>
            <w:vMerge w:val="restart"/>
          </w:tcPr>
          <w:p w14:paraId="63D24B0D" w14:textId="77777777" w:rsidR="006278B1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7,5 mlrd. Eur vertė 2021-2027 m.</w:t>
            </w:r>
          </w:p>
          <w:p w14:paraId="33FE99EC" w14:textId="6F9DD388" w:rsidR="009112F1" w:rsidRPr="00997670" w:rsidRDefault="006278B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</w:rPr>
              <w:t>Finansuoja</w:t>
            </w:r>
            <w:r w:rsidR="009112F1"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:</w:t>
            </w:r>
          </w:p>
          <w:p w14:paraId="41AA2633" w14:textId="2E5A10AE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1. Superkompiuteriją;</w:t>
            </w:r>
          </w:p>
          <w:p w14:paraId="1265E7B5" w14:textId="6E387BFA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2. Dirbtinį intelektą;</w:t>
            </w:r>
          </w:p>
          <w:p w14:paraId="7B237222" w14:textId="62AC8846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3. Kibernetinė saugumą;</w:t>
            </w:r>
          </w:p>
          <w:p w14:paraId="3BA54860" w14:textId="14C8F3EE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4. Pažangius skaitmeninimo įgūdžius</w:t>
            </w:r>
            <w:r w:rsidR="006278B1">
              <w:rPr>
                <w:rFonts w:ascii="Times New Roman" w:hAnsi="Times New Roman" w:cs="Times New Roman"/>
                <w:noProof/>
                <w:color w:val="000000"/>
                <w:kern w:val="0"/>
              </w:rPr>
              <w:t>;</w:t>
            </w:r>
          </w:p>
          <w:p w14:paraId="41951176" w14:textId="6F7081A0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5. Skaitmeninių technologijų platų taikymą visuomenėje ir versle</w:t>
            </w:r>
          </w:p>
        </w:tc>
        <w:tc>
          <w:tcPr>
            <w:tcW w:w="6662" w:type="dxa"/>
          </w:tcPr>
          <w:p w14:paraId="5EE92482" w14:textId="44820DE2" w:rsidR="00422677" w:rsidRPr="00997670" w:rsidRDefault="0042267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97670">
              <w:rPr>
                <w:rFonts w:ascii="Times New Roman" w:hAnsi="Times New Roman" w:cs="Times New Roman"/>
                <w:b/>
                <w:bCs/>
              </w:rPr>
              <w:t>Kibernetinė sauga/dezinformacija:</w:t>
            </w:r>
          </w:p>
          <w:p w14:paraId="42FC43A0" w14:textId="77777777" w:rsidR="00422677" w:rsidRPr="00997670" w:rsidRDefault="0042267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7A8CAD2" w14:textId="49AC8A83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Saugaus bendradarbiavimo ir apsikeitimo informacija debesies paslaugų e-platforma</w:t>
            </w:r>
            <w:r w:rsidR="0068300B">
              <w:rPr>
                <w:rFonts w:ascii="Times New Roman" w:hAnsi="Times New Roman" w:cs="Times New Roman"/>
              </w:rPr>
              <w:t xml:space="preserve"> strategiškai</w:t>
            </w:r>
            <w:r w:rsidRPr="00997670">
              <w:rPr>
                <w:rFonts w:ascii="Times New Roman" w:hAnsi="Times New Roman" w:cs="Times New Roman"/>
              </w:rPr>
              <w:t xml:space="preserve"> jautriems sektoriams (kosmosas, saugumas, įskaitant civilinį saugumą) </w:t>
            </w:r>
            <w:r w:rsidRPr="00997670">
              <w:rPr>
                <w:rFonts w:ascii="Times New Roman" w:hAnsi="Times New Roman" w:cs="Times New Roman"/>
              </w:rPr>
              <w:sym w:font="Wingdings" w:char="F0E0"/>
            </w:r>
            <w:r w:rsidRPr="00997670">
              <w:rPr>
                <w:rFonts w:ascii="Times New Roman" w:hAnsi="Times New Roman" w:cs="Times New Roman"/>
              </w:rPr>
              <w:t xml:space="preserve"> reikia tam tikro institucijų ir įstaigų konsorciumo (gali būti iš vienos VN)</w:t>
            </w:r>
          </w:p>
          <w:p w14:paraId="7D67503F" w14:textId="0A9BF6EC" w:rsidR="00D671C4" w:rsidRPr="00997670" w:rsidRDefault="00F4561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8" w:history="1"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Aplikavimo terminas:</w:t>
              </w:r>
              <w:r w:rsid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</w:t>
              </w:r>
              <w:r w:rsidR="009112F1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iki 2023 m. rugsėjo 26 d.</w:t>
              </w:r>
            </w:hyperlink>
          </w:p>
          <w:p w14:paraId="32AF8697" w14:textId="77777777" w:rsidR="00422677" w:rsidRPr="00997670" w:rsidRDefault="0042267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12CB19B6" w14:textId="7B4AA30C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97670">
              <w:rPr>
                <w:rFonts w:ascii="Times New Roman" w:hAnsi="Times New Roman" w:cs="Times New Roman"/>
              </w:rPr>
              <w:t>Inovatyvios</w:t>
            </w:r>
            <w:proofErr w:type="spellEnd"/>
            <w:r w:rsidRPr="00997670">
              <w:rPr>
                <w:rFonts w:ascii="Times New Roman" w:hAnsi="Times New Roman" w:cs="Times New Roman"/>
              </w:rPr>
              <w:t xml:space="preserve"> kibernetinio saugumo paslaugos (parama įmonėms kuriančioms tokius produktus + parama įsigyti naujausias prekes ar paslaugas)</w:t>
            </w:r>
          </w:p>
          <w:p w14:paraId="14A62034" w14:textId="4BA9BC60" w:rsidR="00422677" w:rsidRPr="00997670" w:rsidRDefault="00F4561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9" w:history="1"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Aplikavimo terminas:</w:t>
              </w:r>
              <w:r w:rsidR="00422677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liepos 6 d.</w:t>
              </w:r>
            </w:hyperlink>
          </w:p>
          <w:p w14:paraId="442E3080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3B076E86" w14:textId="47392EC3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 xml:space="preserve">Bendradarbiavimo stiprinimas (dokumentai, </w:t>
            </w:r>
            <w:r w:rsidR="006278B1">
              <w:rPr>
                <w:rFonts w:ascii="Times New Roman" w:hAnsi="Times New Roman" w:cs="Times New Roman"/>
              </w:rPr>
              <w:t>kūrybinės dirbtuvės</w:t>
            </w:r>
            <w:r w:rsidRPr="00997670">
              <w:rPr>
                <w:rFonts w:ascii="Times New Roman" w:hAnsi="Times New Roman" w:cs="Times New Roman"/>
              </w:rPr>
              <w:t>) tarp civilinio kibernetinio saugumo ir gynybinio (karinio) kibernetinio saugumo</w:t>
            </w:r>
          </w:p>
          <w:p w14:paraId="2727E439" w14:textId="7B34D1E8" w:rsidR="00422677" w:rsidRPr="00997670" w:rsidRDefault="00F4561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10" w:history="1"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Aplikavimo terminas:</w:t>
              </w:r>
              <w:r w:rsidR="00422677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rugsėjo 26 d.</w:t>
              </w:r>
            </w:hyperlink>
          </w:p>
          <w:p w14:paraId="406B1481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4FB756DC" w14:textId="6599CBE6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ES lygmens ir nacionaliniai strateginio reagavimo į kibernetines grėsmes, pavojus ar atakas centrai</w:t>
            </w:r>
            <w:r w:rsidR="00942D3E" w:rsidRPr="00997670">
              <w:rPr>
                <w:rFonts w:ascii="Times New Roman" w:hAnsi="Times New Roman" w:cs="Times New Roman"/>
              </w:rPr>
              <w:t xml:space="preserve"> </w:t>
            </w:r>
            <w:r w:rsidRPr="00997670">
              <w:rPr>
                <w:rFonts w:ascii="Times New Roman" w:hAnsi="Times New Roman" w:cs="Times New Roman"/>
              </w:rPr>
              <w:t xml:space="preserve"> (gebėjimai, informacijos keitimasis, standartai, reglamentavimas ir kt.)</w:t>
            </w:r>
          </w:p>
          <w:p w14:paraId="5D2AD842" w14:textId="3C1D3661" w:rsidR="00422677" w:rsidRPr="00997670" w:rsidRDefault="00F4561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11" w:history="1"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Aplikavimo terminas:</w:t>
              </w:r>
              <w:r w:rsidR="00422677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liepos 6 d.</w:t>
              </w:r>
            </w:hyperlink>
          </w:p>
          <w:p w14:paraId="5C85BA1A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66FE82BC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Gebėjimų stiprinimas ir kritinės infrastruktūros tobulinimas koordinuotam/geresniam atsakui į stiprias kibernetines atakas</w:t>
            </w:r>
          </w:p>
          <w:p w14:paraId="5DE5F162" w14:textId="5DFE95C1" w:rsidR="00422677" w:rsidRPr="00997670" w:rsidRDefault="00F4561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12" w:history="1"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Aplikavimo terminas:</w:t>
              </w:r>
              <w:r w:rsid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</w:t>
              </w:r>
              <w:r w:rsidR="00422677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iki 2023 m. liepos 6 d.</w:t>
              </w:r>
            </w:hyperlink>
          </w:p>
          <w:p w14:paraId="55986279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520699C4" w14:textId="66B53216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Kovai su dezinformacija</w:t>
            </w:r>
            <w:r w:rsidR="00942D3E" w:rsidRPr="00997670">
              <w:rPr>
                <w:rFonts w:ascii="Times New Roman" w:hAnsi="Times New Roman" w:cs="Times New Roman"/>
              </w:rPr>
              <w:t xml:space="preserve"> </w:t>
            </w:r>
            <w:r w:rsidR="00942D3E" w:rsidRPr="00997670">
              <w:rPr>
                <w:rFonts w:ascii="Times New Roman" w:hAnsi="Times New Roman" w:cs="Times New Roman"/>
              </w:rPr>
              <w:sym w:font="Wingdings" w:char="F0E0"/>
            </w:r>
            <w:r w:rsidR="00942D3E" w:rsidRPr="00997670">
              <w:rPr>
                <w:rFonts w:ascii="Times New Roman" w:hAnsi="Times New Roman" w:cs="Times New Roman"/>
              </w:rPr>
              <w:t xml:space="preserve"> ES arba nacionalinės „Skaitmeninės medijos observatorijos“</w:t>
            </w:r>
            <w:r w:rsidRPr="00997670">
              <w:rPr>
                <w:rFonts w:ascii="Times New Roman" w:hAnsi="Times New Roman" w:cs="Times New Roman"/>
              </w:rPr>
              <w:t xml:space="preserve"> (nacionaliniams ekspertams ir organizacijoms galimas finansavimas atlikinėti </w:t>
            </w:r>
            <w:r w:rsidR="00942D3E" w:rsidRPr="00997670">
              <w:rPr>
                <w:rFonts w:ascii="Times New Roman" w:hAnsi="Times New Roman" w:cs="Times New Roman"/>
              </w:rPr>
              <w:t xml:space="preserve">tyrimus, </w:t>
            </w:r>
            <w:r w:rsidRPr="00997670">
              <w:rPr>
                <w:rFonts w:ascii="Times New Roman" w:hAnsi="Times New Roman" w:cs="Times New Roman"/>
              </w:rPr>
              <w:t>faktų tikrinimus, kurti metodikas, dalintis patirtimi ir kt.)</w:t>
            </w:r>
          </w:p>
          <w:p w14:paraId="38F33811" w14:textId="3FE83E45" w:rsidR="00422677" w:rsidRPr="00997670" w:rsidRDefault="00F4561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13" w:history="1"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Aplikavimo terminas:</w:t>
              </w:r>
              <w:r w:rsid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</w:t>
              </w:r>
              <w:r w:rsidR="00422677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iki 2023 m. rugsėjo 26 d.</w:t>
              </w:r>
            </w:hyperlink>
          </w:p>
          <w:p w14:paraId="458BEE7B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2448CCD6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Nacionalinių saugaus interneto centrų kūrimui (didžiausia orientacija į vaikus ir spec. poreikių turinčių asmenis, esančius soc. atskirtyje, didinant jų skaitmeninį raštingumą, identifikuojant rizikas, kuriant „karštąsias linijas“, kova prieš patyčias ir pan., stiprinant bendradarbiavimą su teisėsauga ir pan.)</w:t>
            </w:r>
          </w:p>
          <w:p w14:paraId="200FA5A5" w14:textId="6358CFEA" w:rsidR="00422677" w:rsidRPr="00997670" w:rsidRDefault="00F4561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14" w:history="1">
              <w:r w:rsidR="0068300B" w:rsidRPr="00D60BEF">
                <w:t xml:space="preserve"> </w:t>
              </w:r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Aplikavimo terminas:</w:t>
              </w:r>
              <w:r w:rsidR="00422677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rugsėjo 26 d.</w:t>
              </w:r>
            </w:hyperlink>
          </w:p>
          <w:p w14:paraId="59A6C46C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5D90ED8D" w14:textId="115B83E1" w:rsidR="00422677" w:rsidRPr="00997670" w:rsidRDefault="00422677" w:rsidP="00422677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color w:val="auto"/>
                <w:u w:val="none"/>
              </w:rPr>
            </w:pPr>
            <w:r w:rsidRPr="00997670">
              <w:rPr>
                <w:rFonts w:ascii="Times New Roman" w:hAnsi="Times New Roman" w:cs="Times New Roman"/>
              </w:rPr>
              <w:t>ES kibernetinio reglamentavimo įgyvendinimas ir nacionalinių kibernetinio saugumo strategijų rengimas</w:t>
            </w:r>
            <w:r w:rsidRPr="00997670">
              <w:rPr>
                <w:rFonts w:ascii="Times New Roman" w:hAnsi="Times New Roman" w:cs="Times New Roman"/>
                <w:i/>
                <w:iCs/>
              </w:rPr>
              <w:fldChar w:fldCharType="begin"/>
            </w:r>
            <w:r w:rsidRPr="00997670">
              <w:rPr>
                <w:rFonts w:ascii="Times New Roman" w:hAnsi="Times New Roman" w:cs="Times New Roman"/>
                <w:i/>
                <w:iCs/>
              </w:rPr>
              <w:instrText xml:space="preserve"> HYPERLINK "https://ec.europa.eu/info/funding-tenders/opportunities/portal/screen/opportunities/topic-details/digital-eccc-2023-deploy-cyber-04-eulegislation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</w:instrText>
            </w:r>
            <w:r w:rsidRPr="00997670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</w:p>
          <w:p w14:paraId="40CDDAD3" w14:textId="1F42CCF1" w:rsidR="00422677" w:rsidRPr="00997670" w:rsidRDefault="0068300B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8300B">
              <w:rPr>
                <w:rStyle w:val="Hipersaitas"/>
                <w:rFonts w:ascii="Times New Roman" w:hAnsi="Times New Roman" w:cs="Times New Roman"/>
                <w:i/>
                <w:iCs/>
              </w:rPr>
              <w:t>Aplikavimo terminas:</w:t>
            </w:r>
            <w:r w:rsidR="00422677" w:rsidRPr="00997670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iki 2023 m. rugsėjo 26 d.</w:t>
            </w:r>
            <w:r w:rsidR="00422677" w:rsidRPr="00997670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  <w:p w14:paraId="152DDB02" w14:textId="77777777" w:rsidR="00E05EED" w:rsidRPr="00997670" w:rsidRDefault="00E05EED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0D787725" w14:textId="77777777" w:rsidR="00E05EED" w:rsidRPr="00997670" w:rsidRDefault="00E05EED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Ekspertinė prevencinė pagalba VN, ruošiantis ir simuliuojant kibernetines grėsmes, identifikuojant rizikas ir kt.</w:t>
            </w:r>
          </w:p>
          <w:p w14:paraId="0ECBB556" w14:textId="3C74ED23" w:rsidR="00E05EED" w:rsidRPr="00997670" w:rsidRDefault="00F4561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15" w:history="1">
              <w:r w:rsidR="0068300B" w:rsidRPr="00D60BEF">
                <w:t xml:space="preserve"> </w:t>
              </w:r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Aplikavimo terminas:</w:t>
              </w:r>
              <w:r w:rsidR="00E05EED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rugsėjo 26 d.</w:t>
              </w:r>
            </w:hyperlink>
          </w:p>
        </w:tc>
        <w:tc>
          <w:tcPr>
            <w:tcW w:w="3544" w:type="dxa"/>
            <w:vMerge w:val="restart"/>
          </w:tcPr>
          <w:p w14:paraId="37F85313" w14:textId="698FAB3B" w:rsidR="009112F1" w:rsidRPr="00997670" w:rsidRDefault="009112F1" w:rsidP="00CD0F41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lastRenderedPageBreak/>
              <w:t xml:space="preserve">Svarbu sinergijos su </w:t>
            </w:r>
            <w:proofErr w:type="spellStart"/>
            <w:r w:rsidRPr="00997670">
              <w:rPr>
                <w:rFonts w:ascii="Times New Roman" w:hAnsi="Times New Roman" w:cs="Times New Roman"/>
              </w:rPr>
              <w:t>Horizon</w:t>
            </w:r>
            <w:proofErr w:type="spellEnd"/>
            <w:r w:rsidRPr="00997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670">
              <w:rPr>
                <w:rFonts w:ascii="Times New Roman" w:hAnsi="Times New Roman" w:cs="Times New Roman"/>
              </w:rPr>
              <w:t>Europe</w:t>
            </w:r>
            <w:proofErr w:type="spellEnd"/>
            <w:r w:rsidRPr="00997670">
              <w:rPr>
                <w:rFonts w:ascii="Times New Roman" w:hAnsi="Times New Roman" w:cs="Times New Roman"/>
              </w:rPr>
              <w:t>, CEF, RRF, SP ir kitomis programomis</w:t>
            </w:r>
          </w:p>
        </w:tc>
      </w:tr>
      <w:tr w:rsidR="009112F1" w:rsidRPr="00997670" w14:paraId="58B6F47F" w14:textId="77777777" w:rsidTr="00CA4D15">
        <w:trPr>
          <w:trHeight w:val="175"/>
        </w:trPr>
        <w:tc>
          <w:tcPr>
            <w:tcW w:w="704" w:type="dxa"/>
            <w:vMerge/>
          </w:tcPr>
          <w:p w14:paraId="65ED4BC8" w14:textId="77777777" w:rsidR="009112F1" w:rsidRPr="00997670" w:rsidRDefault="009112F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14:paraId="5B811970" w14:textId="77777777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vMerge/>
          </w:tcPr>
          <w:p w14:paraId="02B9B91B" w14:textId="77777777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</w:tc>
        <w:tc>
          <w:tcPr>
            <w:tcW w:w="6662" w:type="dxa"/>
          </w:tcPr>
          <w:p w14:paraId="6A4AE7C2" w14:textId="5697A1C5" w:rsidR="00422677" w:rsidRPr="00997670" w:rsidRDefault="00422677" w:rsidP="00F46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97670">
              <w:rPr>
                <w:rFonts w:ascii="Times New Roman" w:hAnsi="Times New Roman" w:cs="Times New Roman"/>
                <w:b/>
                <w:bCs/>
              </w:rPr>
              <w:t>Skaitmeniniai įgūdžiai:</w:t>
            </w:r>
          </w:p>
          <w:p w14:paraId="4D290AED" w14:textId="77777777" w:rsidR="00422677" w:rsidRPr="00997670" w:rsidRDefault="00422677" w:rsidP="00F46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264A8DF" w14:textId="56A9DA50" w:rsidR="001C7EA9" w:rsidRPr="00997670" w:rsidRDefault="00F46624" w:rsidP="00F46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 xml:space="preserve">Nacionalinių kontaktinių tinklų sukūrimas, kompetencijos ir informacijos sklaida apie Digital </w:t>
            </w:r>
            <w:proofErr w:type="spellStart"/>
            <w:r w:rsidRPr="00997670">
              <w:rPr>
                <w:rFonts w:ascii="Times New Roman" w:hAnsi="Times New Roman" w:cs="Times New Roman"/>
              </w:rPr>
              <w:t>Europe</w:t>
            </w:r>
            <w:proofErr w:type="spellEnd"/>
            <w:r w:rsidRPr="00997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670">
              <w:rPr>
                <w:rFonts w:ascii="Times New Roman" w:hAnsi="Times New Roman" w:cs="Times New Roman"/>
              </w:rPr>
              <w:t>Programme</w:t>
            </w:r>
            <w:proofErr w:type="spellEnd"/>
            <w:r w:rsidRPr="00997670">
              <w:rPr>
                <w:rFonts w:ascii="Times New Roman" w:hAnsi="Times New Roman" w:cs="Times New Roman"/>
              </w:rPr>
              <w:t xml:space="preserve"> finansavimo galimybes, reikalavimus, procedūras ir t.t.</w:t>
            </w:r>
          </w:p>
          <w:p w14:paraId="549295CB" w14:textId="114AB425" w:rsidR="00F46624" w:rsidRPr="00997670" w:rsidRDefault="00F45617" w:rsidP="00F46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16" w:history="1">
              <w:r w:rsidR="0068300B" w:rsidRPr="00D60BEF">
                <w:t xml:space="preserve"> </w:t>
              </w:r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Aplikavimo terminas:</w:t>
              </w:r>
              <w:r w:rsidR="00F46624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rugsėjo 26 d.</w:t>
              </w:r>
            </w:hyperlink>
          </w:p>
          <w:p w14:paraId="30BE3F4B" w14:textId="77777777" w:rsidR="00422677" w:rsidRPr="00997670" w:rsidRDefault="00422677" w:rsidP="00F46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0D8EE782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Vaikų, jaunimo, studentų, ypač merginų, skaitmeninių įgūdžių tobulinimas (per karjeros dienas, vaikų stovyklas ir pan.)</w:t>
            </w:r>
          </w:p>
          <w:p w14:paraId="6FA7F647" w14:textId="42BE7551" w:rsidR="00422677" w:rsidRPr="00997670" w:rsidRDefault="00F4561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17" w:history="1">
              <w:r w:rsidR="0068300B" w:rsidRPr="00D60BEF">
                <w:t xml:space="preserve"> </w:t>
              </w:r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Aplikavimo terminas:</w:t>
              </w:r>
              <w:r w:rsidR="00422677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rugsėjo 26 d.</w:t>
              </w:r>
            </w:hyperlink>
          </w:p>
          <w:p w14:paraId="29EF6B98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60FF6635" w14:textId="77777777" w:rsidR="00422677" w:rsidRPr="00997670" w:rsidRDefault="0042267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Puslaidininkių sektoriaus įgūdžiai per stipendijas studentams, vizitus į įmones, mokymo programų sudarymas, laboratorijų atnaujinimas ir kt. (akademiniams tinklams ir profesinio mokymo įstaigoms)</w:t>
            </w:r>
          </w:p>
          <w:p w14:paraId="29FEE500" w14:textId="43AB8158" w:rsidR="00422677" w:rsidRPr="00997670" w:rsidRDefault="00F45617" w:rsidP="004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18" w:history="1">
              <w:r w:rsidR="0068300B" w:rsidRPr="00D60BEF">
                <w:t xml:space="preserve"> </w:t>
              </w:r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Aplikavimo terminas:</w:t>
              </w:r>
              <w:r w:rsidR="00422677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rugsėjo 26 d.</w:t>
              </w:r>
            </w:hyperlink>
          </w:p>
        </w:tc>
        <w:tc>
          <w:tcPr>
            <w:tcW w:w="3544" w:type="dxa"/>
            <w:vMerge/>
          </w:tcPr>
          <w:p w14:paraId="32A40094" w14:textId="77777777" w:rsidR="009112F1" w:rsidRPr="00997670" w:rsidRDefault="009112F1" w:rsidP="00CD0F41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12F1" w:rsidRPr="00997670" w14:paraId="5E9B594A" w14:textId="77777777" w:rsidTr="00CA4D15">
        <w:trPr>
          <w:trHeight w:val="175"/>
        </w:trPr>
        <w:tc>
          <w:tcPr>
            <w:tcW w:w="704" w:type="dxa"/>
            <w:vMerge/>
          </w:tcPr>
          <w:p w14:paraId="7DCE97F5" w14:textId="77777777" w:rsidR="009112F1" w:rsidRPr="00997670" w:rsidRDefault="009112F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14:paraId="79A87A73" w14:textId="77777777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vMerge/>
          </w:tcPr>
          <w:p w14:paraId="4F6E9612" w14:textId="77777777" w:rsidR="009112F1" w:rsidRPr="00997670" w:rsidRDefault="009112F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</w:tc>
        <w:tc>
          <w:tcPr>
            <w:tcW w:w="6662" w:type="dxa"/>
          </w:tcPr>
          <w:p w14:paraId="4938024A" w14:textId="77777777" w:rsidR="00E05EED" w:rsidRPr="00997670" w:rsidRDefault="00E05EED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14:paraId="608019F6" w14:textId="719AE1A3" w:rsidR="00E05EED" w:rsidRPr="00997670" w:rsidRDefault="00942D3E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97670">
              <w:rPr>
                <w:rFonts w:ascii="Times New Roman" w:hAnsi="Times New Roman" w:cs="Times New Roman"/>
                <w:i/>
                <w:iCs/>
              </w:rPr>
              <w:t>***</w:t>
            </w:r>
            <w:r w:rsidR="00E05EED" w:rsidRPr="00997670">
              <w:rPr>
                <w:rFonts w:ascii="Times New Roman" w:hAnsi="Times New Roman" w:cs="Times New Roman"/>
                <w:i/>
                <w:iCs/>
              </w:rPr>
              <w:t xml:space="preserve">Yra kitų kvietimų verslo įmonėms tiesiogiai dalyvauti ES lygmens prekių, paslaugų, standartų, bendro intereso projektų sukūrimui (pavyzdžiui, ES dirbtinio intelekto platforma, ES Energijos taupymo duomenų bazė elektros tiekėjams, </w:t>
            </w:r>
            <w:r w:rsidRPr="00997670">
              <w:rPr>
                <w:rFonts w:ascii="Times New Roman" w:hAnsi="Times New Roman" w:cs="Times New Roman"/>
                <w:i/>
                <w:iCs/>
              </w:rPr>
              <w:t>Skaitmeninis ES produktų pasas ir kt.)</w:t>
            </w:r>
          </w:p>
        </w:tc>
        <w:tc>
          <w:tcPr>
            <w:tcW w:w="3544" w:type="dxa"/>
            <w:vMerge/>
          </w:tcPr>
          <w:p w14:paraId="2D70E203" w14:textId="77777777" w:rsidR="009112F1" w:rsidRPr="00997670" w:rsidRDefault="009112F1" w:rsidP="00CD0F41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4E0E" w:rsidRPr="00997670" w14:paraId="34CC574C" w14:textId="77777777" w:rsidTr="00CA4D15">
        <w:trPr>
          <w:trHeight w:val="1140"/>
        </w:trPr>
        <w:tc>
          <w:tcPr>
            <w:tcW w:w="704" w:type="dxa"/>
            <w:vMerge w:val="restart"/>
          </w:tcPr>
          <w:p w14:paraId="4D473455" w14:textId="7901D392" w:rsidR="00A34E0E" w:rsidRPr="00997670" w:rsidRDefault="008C2D70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lastRenderedPageBreak/>
              <w:t>2.</w:t>
            </w:r>
          </w:p>
        </w:tc>
        <w:tc>
          <w:tcPr>
            <w:tcW w:w="1559" w:type="dxa"/>
            <w:vMerge w:val="restart"/>
          </w:tcPr>
          <w:p w14:paraId="3FAF9086" w14:textId="18ECF726" w:rsidR="00A34E0E" w:rsidRPr="00997670" w:rsidRDefault="00F4561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9" w:history="1">
              <w:proofErr w:type="spellStart"/>
              <w:r w:rsidR="00A34E0E" w:rsidRPr="00997670">
                <w:rPr>
                  <w:rStyle w:val="Hipersaitas"/>
                  <w:rFonts w:ascii="Times New Roman" w:hAnsi="Times New Roman" w:cs="Times New Roman"/>
                </w:rPr>
                <w:t>Interregional</w:t>
              </w:r>
              <w:proofErr w:type="spellEnd"/>
              <w:r w:rsidR="00A34E0E" w:rsidRPr="00997670">
                <w:rPr>
                  <w:rStyle w:val="Hipersaitas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A34E0E" w:rsidRPr="00997670">
                <w:rPr>
                  <w:rStyle w:val="Hipersaitas"/>
                  <w:rFonts w:ascii="Times New Roman" w:hAnsi="Times New Roman" w:cs="Times New Roman"/>
                </w:rPr>
                <w:t>Innovation</w:t>
              </w:r>
              <w:proofErr w:type="spellEnd"/>
              <w:r w:rsidR="00A34E0E" w:rsidRPr="00997670">
                <w:rPr>
                  <w:rStyle w:val="Hipersaitas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A34E0E" w:rsidRPr="00997670">
                <w:rPr>
                  <w:rStyle w:val="Hipersaitas"/>
                  <w:rFonts w:ascii="Times New Roman" w:hAnsi="Times New Roman" w:cs="Times New Roman"/>
                </w:rPr>
                <w:t>Investments</w:t>
              </w:r>
              <w:proofErr w:type="spellEnd"/>
              <w:r w:rsidR="00A34E0E" w:rsidRPr="00997670">
                <w:rPr>
                  <w:rStyle w:val="Hipersaitas"/>
                  <w:rFonts w:ascii="Times New Roman" w:hAnsi="Times New Roman" w:cs="Times New Roman"/>
                </w:rPr>
                <w:t xml:space="preserve"> (I3)</w:t>
              </w:r>
            </w:hyperlink>
          </w:p>
        </w:tc>
        <w:tc>
          <w:tcPr>
            <w:tcW w:w="3266" w:type="dxa"/>
            <w:vMerge w:val="restart"/>
          </w:tcPr>
          <w:p w14:paraId="23651E16" w14:textId="77777777" w:rsidR="00A34E0E" w:rsidRPr="00997670" w:rsidRDefault="00A34E0E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1. Saitų ir ryšių kūrimas tarp ES regionų S3 srityse</w:t>
            </w:r>
          </w:p>
          <w:p w14:paraId="68869B94" w14:textId="7756A078" w:rsidR="00A34E0E" w:rsidRPr="00997670" w:rsidRDefault="00A34E0E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2. Inovacijų testavimas, demonstravimas, pilotavimas ir kt. žaliosios, skaitmeninės pertvarkos srityse ir išmanio</w:t>
            </w:r>
            <w:r w:rsidR="0068300B">
              <w:rPr>
                <w:rFonts w:ascii="Times New Roman" w:hAnsi="Times New Roman" w:cs="Times New Roman"/>
                <w:noProof/>
                <w:color w:val="000000"/>
                <w:kern w:val="0"/>
              </w:rPr>
              <w:t>jo</w:t>
            </w: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je gamyboje</w:t>
            </w:r>
          </w:p>
          <w:p w14:paraId="4D4830E2" w14:textId="55EA0CC0" w:rsidR="00A34E0E" w:rsidRPr="00997670" w:rsidRDefault="00A34E0E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3. Tiesioginė finansinė ir ekspertinė pagalba (pagrinde SVV)</w:t>
            </w:r>
          </w:p>
        </w:tc>
        <w:tc>
          <w:tcPr>
            <w:tcW w:w="6662" w:type="dxa"/>
          </w:tcPr>
          <w:p w14:paraId="60FF2B40" w14:textId="33047333" w:rsidR="00A34E0E" w:rsidRPr="00997670" w:rsidRDefault="00A34E0E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 xml:space="preserve">1 Ramstis remia itin plačias </w:t>
            </w:r>
            <w:proofErr w:type="spellStart"/>
            <w:r w:rsidRPr="00997670">
              <w:rPr>
                <w:rFonts w:ascii="Times New Roman" w:hAnsi="Times New Roman" w:cs="Times New Roman"/>
              </w:rPr>
              <w:t>skaitmeninimo</w:t>
            </w:r>
            <w:proofErr w:type="spellEnd"/>
            <w:r w:rsidRPr="00997670">
              <w:rPr>
                <w:rFonts w:ascii="Times New Roman" w:hAnsi="Times New Roman" w:cs="Times New Roman"/>
              </w:rPr>
              <w:t xml:space="preserve"> veiklas (skaitmeninės ekonomikos inovacijos, viešojo administravimo </w:t>
            </w:r>
            <w:proofErr w:type="spellStart"/>
            <w:r w:rsidRPr="00997670">
              <w:rPr>
                <w:rFonts w:ascii="Times New Roman" w:hAnsi="Times New Roman" w:cs="Times New Roman"/>
              </w:rPr>
              <w:t>skaitmenizavimui</w:t>
            </w:r>
            <w:proofErr w:type="spellEnd"/>
            <w:r w:rsidRPr="00997670">
              <w:rPr>
                <w:rFonts w:ascii="Times New Roman" w:hAnsi="Times New Roman" w:cs="Times New Roman"/>
              </w:rPr>
              <w:t xml:space="preserve">, sveikatos </w:t>
            </w:r>
            <w:proofErr w:type="spellStart"/>
            <w:r w:rsidRPr="00997670">
              <w:rPr>
                <w:rFonts w:ascii="Times New Roman" w:hAnsi="Times New Roman" w:cs="Times New Roman"/>
              </w:rPr>
              <w:t>skaitmeninimui</w:t>
            </w:r>
            <w:proofErr w:type="spellEnd"/>
            <w:r w:rsidRPr="00997670">
              <w:rPr>
                <w:rFonts w:ascii="Times New Roman" w:hAnsi="Times New Roman" w:cs="Times New Roman"/>
              </w:rPr>
              <w:t xml:space="preserve"> ir kt.)</w:t>
            </w:r>
          </w:p>
          <w:p w14:paraId="65881D86" w14:textId="58E46087" w:rsidR="00A34E0E" w:rsidRPr="00997670" w:rsidRDefault="00F4561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20" w:history="1">
              <w:r w:rsidR="0068300B" w:rsidRPr="00D60BEF">
                <w:t xml:space="preserve"> </w:t>
              </w:r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Aplikavimo terminas:</w:t>
              </w:r>
              <w:r w:rsidR="00A34E0E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spalio 17 d.</w:t>
              </w:r>
            </w:hyperlink>
          </w:p>
        </w:tc>
        <w:tc>
          <w:tcPr>
            <w:tcW w:w="3544" w:type="dxa"/>
            <w:vMerge w:val="restart"/>
          </w:tcPr>
          <w:p w14:paraId="33FD83B6" w14:textId="5190BE9A" w:rsidR="00A34E0E" w:rsidRPr="00997670" w:rsidRDefault="00A34E0E" w:rsidP="00CD0F41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570 mln. Eur 2021-2027</w:t>
            </w:r>
            <w:r w:rsidR="009D767B" w:rsidRPr="00997670">
              <w:rPr>
                <w:rFonts w:ascii="Times New Roman" w:hAnsi="Times New Roman" w:cs="Times New Roman"/>
              </w:rPr>
              <w:t xml:space="preserve"> m.</w:t>
            </w:r>
          </w:p>
          <w:p w14:paraId="65939BAD" w14:textId="2FD1FD06" w:rsidR="00A34E0E" w:rsidRPr="00997670" w:rsidRDefault="00A34E0E" w:rsidP="00CD0F41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 xml:space="preserve">Iki 10 mln. Eur projektui (nuo 30 iki 70 proc. ES </w:t>
            </w:r>
            <w:proofErr w:type="spellStart"/>
            <w:r w:rsidRPr="00997670">
              <w:rPr>
                <w:rFonts w:ascii="Times New Roman" w:hAnsi="Times New Roman" w:cs="Times New Roman"/>
              </w:rPr>
              <w:t>kofinansavimas</w:t>
            </w:r>
            <w:proofErr w:type="spellEnd"/>
            <w:r w:rsidRPr="00997670">
              <w:rPr>
                <w:rFonts w:ascii="Times New Roman" w:hAnsi="Times New Roman" w:cs="Times New Roman"/>
              </w:rPr>
              <w:t>)</w:t>
            </w:r>
          </w:p>
          <w:p w14:paraId="31E18C33" w14:textId="746B69DE" w:rsidR="00A34E0E" w:rsidRPr="00997670" w:rsidRDefault="00A34E0E" w:rsidP="00CD0F41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Reikia bent 3-5 partnerių regionų iš kitų VN</w:t>
            </w:r>
          </w:p>
        </w:tc>
      </w:tr>
      <w:tr w:rsidR="00A34E0E" w:rsidRPr="00997670" w14:paraId="1D8673D2" w14:textId="77777777" w:rsidTr="00CA4D15">
        <w:trPr>
          <w:trHeight w:val="1140"/>
        </w:trPr>
        <w:tc>
          <w:tcPr>
            <w:tcW w:w="704" w:type="dxa"/>
            <w:vMerge/>
          </w:tcPr>
          <w:p w14:paraId="1A299B82" w14:textId="77777777" w:rsidR="00A34E0E" w:rsidRPr="00997670" w:rsidRDefault="00A34E0E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14:paraId="493F8CC3" w14:textId="77777777" w:rsidR="00A34E0E" w:rsidRPr="00997670" w:rsidRDefault="00A34E0E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vMerge/>
          </w:tcPr>
          <w:p w14:paraId="2607FA12" w14:textId="77777777" w:rsidR="00A34E0E" w:rsidRPr="00997670" w:rsidRDefault="00A34E0E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</w:tc>
        <w:tc>
          <w:tcPr>
            <w:tcW w:w="6662" w:type="dxa"/>
          </w:tcPr>
          <w:p w14:paraId="26ACC08C" w14:textId="77777777" w:rsidR="00A34E0E" w:rsidRPr="00997670" w:rsidRDefault="00A34E0E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2 ramstis (iš esmės identiškas pirmajam)</w:t>
            </w:r>
          </w:p>
          <w:p w14:paraId="1B11473A" w14:textId="23AF77E8" w:rsidR="00A34E0E" w:rsidRPr="00997670" w:rsidRDefault="00F4561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21" w:history="1">
              <w:r w:rsidR="0068300B" w:rsidRPr="00D60BEF">
                <w:t xml:space="preserve"> </w:t>
              </w:r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Aplikavimo </w:t>
              </w:r>
              <w:proofErr w:type="spellStart"/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terminas:</w:t>
              </w:r>
              <w:r w:rsidR="00A34E0E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iki</w:t>
              </w:r>
              <w:proofErr w:type="spellEnd"/>
              <w:r w:rsidR="00A34E0E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2023 m. spalio 17 d.</w:t>
              </w:r>
            </w:hyperlink>
          </w:p>
        </w:tc>
        <w:tc>
          <w:tcPr>
            <w:tcW w:w="3544" w:type="dxa"/>
            <w:vMerge/>
          </w:tcPr>
          <w:p w14:paraId="00E648E0" w14:textId="77777777" w:rsidR="00A34E0E" w:rsidRPr="00997670" w:rsidRDefault="00A34E0E" w:rsidP="00CD0F41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D0F41" w:rsidRPr="00997670" w14:paraId="54038226" w14:textId="77777777" w:rsidTr="00CA4D15">
        <w:trPr>
          <w:trHeight w:val="403"/>
        </w:trPr>
        <w:tc>
          <w:tcPr>
            <w:tcW w:w="704" w:type="dxa"/>
          </w:tcPr>
          <w:p w14:paraId="5A4F4482" w14:textId="4A661321" w:rsidR="00CD0F41" w:rsidRPr="00997670" w:rsidRDefault="008C2D70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3.</w:t>
            </w:r>
          </w:p>
        </w:tc>
        <w:tc>
          <w:tcPr>
            <w:tcW w:w="1559" w:type="dxa"/>
          </w:tcPr>
          <w:p w14:paraId="2E0404B9" w14:textId="77777777" w:rsidR="00CD0F41" w:rsidRPr="00997670" w:rsidRDefault="00F4561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hyperlink r:id="rId22" w:history="1">
              <w:r w:rsidR="00CD0F41" w:rsidRPr="00997670">
                <w:rPr>
                  <w:rStyle w:val="Hipersaitas"/>
                  <w:rFonts w:ascii="Times New Roman" w:hAnsi="Times New Roman" w:cs="Times New Roman"/>
                  <w:noProof/>
                  <w:kern w:val="0"/>
                </w:rPr>
                <w:t>Technical Support Instrument / TSI</w:t>
              </w:r>
            </w:hyperlink>
          </w:p>
        </w:tc>
        <w:tc>
          <w:tcPr>
            <w:tcW w:w="3266" w:type="dxa"/>
          </w:tcPr>
          <w:p w14:paraId="6B35EA59" w14:textId="77777777" w:rsidR="00CD0F41" w:rsidRPr="00997670" w:rsidRDefault="00CD0F4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Reformų planams / programoms paruošti bet kurioje srityje</w:t>
            </w:r>
          </w:p>
          <w:p w14:paraId="0E6C3A91" w14:textId="595424C0" w:rsidR="00CD0F41" w:rsidRPr="00997670" w:rsidRDefault="00F4561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hyperlink r:id="rId23" w:history="1">
              <w:r w:rsidR="0068300B">
                <w:rPr>
                  <w:rStyle w:val="Hipersaitas"/>
                  <w:rFonts w:ascii="Times New Roman" w:hAnsi="Times New Roman" w:cs="Times New Roman"/>
                  <w:noProof/>
                  <w:kern w:val="0"/>
                </w:rPr>
                <w:t>Žaliojo kurso</w:t>
              </w:r>
              <w:r w:rsidR="00CD0F41" w:rsidRPr="00997670">
                <w:rPr>
                  <w:rStyle w:val="Hipersaitas"/>
                  <w:rFonts w:ascii="Times New Roman" w:hAnsi="Times New Roman" w:cs="Times New Roman"/>
                  <w:noProof/>
                  <w:kern w:val="0"/>
                </w:rPr>
                <w:t xml:space="preserve"> remiamų reformų pvz:</w:t>
              </w:r>
            </w:hyperlink>
          </w:p>
          <w:p w14:paraId="690F853F" w14:textId="77777777" w:rsidR="00CD0F41" w:rsidRPr="00997670" w:rsidRDefault="00CD0F4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</w:tc>
        <w:tc>
          <w:tcPr>
            <w:tcW w:w="6662" w:type="dxa"/>
          </w:tcPr>
          <w:p w14:paraId="1377A10C" w14:textId="701F360D" w:rsidR="00CD0F41" w:rsidRPr="00997670" w:rsidRDefault="0068300B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8300B">
              <w:rPr>
                <w:rFonts w:ascii="Times New Roman" w:hAnsi="Times New Roman" w:cs="Times New Roman"/>
                <w:i/>
                <w:iCs/>
              </w:rPr>
              <w:t>Aplikavimo terminas</w:t>
            </w:r>
            <w:r w:rsidR="00CD0F41" w:rsidRPr="00997670">
              <w:rPr>
                <w:rFonts w:ascii="Times New Roman" w:hAnsi="Times New Roman" w:cs="Times New Roman"/>
                <w:i/>
                <w:iCs/>
              </w:rPr>
              <w:t>: vyksta nuolat iki kiekvienų metų spalio mėn.</w:t>
            </w:r>
          </w:p>
        </w:tc>
        <w:tc>
          <w:tcPr>
            <w:tcW w:w="3544" w:type="dxa"/>
          </w:tcPr>
          <w:p w14:paraId="6F6A170F" w14:textId="77777777" w:rsidR="00CD0F41" w:rsidRPr="00997670" w:rsidRDefault="00CD0F41" w:rsidP="00CD0F41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Kontaktuoti ir informuoti DG REFORM</w:t>
            </w:r>
          </w:p>
        </w:tc>
      </w:tr>
      <w:tr w:rsidR="00CD0F41" w:rsidRPr="00997670" w14:paraId="07788FA8" w14:textId="77777777" w:rsidTr="00CA4D15">
        <w:trPr>
          <w:trHeight w:val="389"/>
        </w:trPr>
        <w:tc>
          <w:tcPr>
            <w:tcW w:w="704" w:type="dxa"/>
          </w:tcPr>
          <w:p w14:paraId="25A4D4A2" w14:textId="06F44C12" w:rsidR="00CD0F41" w:rsidRPr="00997670" w:rsidRDefault="008C2D70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4.</w:t>
            </w:r>
          </w:p>
        </w:tc>
        <w:tc>
          <w:tcPr>
            <w:tcW w:w="1559" w:type="dxa"/>
          </w:tcPr>
          <w:p w14:paraId="3F7E02C0" w14:textId="0846D1D9" w:rsidR="00CD0F41" w:rsidRPr="00997670" w:rsidRDefault="00F45617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hyperlink r:id="rId24" w:history="1">
              <w:r w:rsidR="00CD0F41" w:rsidRPr="00997670">
                <w:rPr>
                  <w:rStyle w:val="Hipersaitas"/>
                  <w:rFonts w:ascii="Times New Roman" w:hAnsi="Times New Roman" w:cs="Times New Roman"/>
                  <w:noProof/>
                  <w:kern w:val="0"/>
                </w:rPr>
                <w:t>Connecting Europe Facility / CEF</w:t>
              </w:r>
            </w:hyperlink>
          </w:p>
        </w:tc>
        <w:tc>
          <w:tcPr>
            <w:tcW w:w="3266" w:type="dxa"/>
          </w:tcPr>
          <w:p w14:paraId="603C468E" w14:textId="7604FEFE" w:rsidR="00CD0F41" w:rsidRPr="00997670" w:rsidRDefault="00CD0F41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CEF-Digital dalis – energetikos ir transporto skaitmenizavimas</w:t>
            </w:r>
          </w:p>
        </w:tc>
        <w:tc>
          <w:tcPr>
            <w:tcW w:w="6662" w:type="dxa"/>
          </w:tcPr>
          <w:p w14:paraId="2D316791" w14:textId="01EC20CD" w:rsidR="00CD0F41" w:rsidRPr="00997670" w:rsidRDefault="00F23EDC" w:rsidP="0022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 xml:space="preserve">Šiuo metu nėra paskelbtų kvietimų </w:t>
            </w:r>
            <w:proofErr w:type="spellStart"/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>skaitmeninimo</w:t>
            </w:r>
            <w:proofErr w:type="spellEnd"/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 xml:space="preserve"> srityje</w:t>
            </w:r>
          </w:p>
        </w:tc>
        <w:tc>
          <w:tcPr>
            <w:tcW w:w="3544" w:type="dxa"/>
          </w:tcPr>
          <w:p w14:paraId="4851DC2D" w14:textId="373DD3A1" w:rsidR="00CD0F41" w:rsidRPr="00997670" w:rsidRDefault="00F23EDC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-</w:t>
            </w:r>
          </w:p>
        </w:tc>
      </w:tr>
      <w:tr w:rsidR="00CD0F41" w:rsidRPr="00997670" w14:paraId="467B0932" w14:textId="77777777" w:rsidTr="00CA4D15">
        <w:trPr>
          <w:trHeight w:val="389"/>
        </w:trPr>
        <w:tc>
          <w:tcPr>
            <w:tcW w:w="704" w:type="dxa"/>
          </w:tcPr>
          <w:p w14:paraId="6D6F6DD5" w14:textId="413EC7E6" w:rsidR="00CD0F41" w:rsidRPr="00997670" w:rsidRDefault="00CD0F41" w:rsidP="00CD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 xml:space="preserve"> </w:t>
            </w:r>
            <w:r w:rsidR="008C2D70"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5.</w:t>
            </w:r>
          </w:p>
        </w:tc>
        <w:tc>
          <w:tcPr>
            <w:tcW w:w="1559" w:type="dxa"/>
          </w:tcPr>
          <w:p w14:paraId="66D57EA9" w14:textId="4A94200B" w:rsidR="00CD0F41" w:rsidRPr="00997670" w:rsidRDefault="00F45617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5" w:history="1">
              <w:r w:rsidR="00CD0F41" w:rsidRPr="00997670">
                <w:rPr>
                  <w:rStyle w:val="Hipersaitas"/>
                  <w:rFonts w:ascii="Times New Roman" w:hAnsi="Times New Roman" w:cs="Times New Roman"/>
                  <w:noProof/>
                  <w:kern w:val="0"/>
                </w:rPr>
                <w:t>InvestEU</w:t>
              </w:r>
            </w:hyperlink>
          </w:p>
        </w:tc>
        <w:tc>
          <w:tcPr>
            <w:tcW w:w="3266" w:type="dxa"/>
          </w:tcPr>
          <w:p w14:paraId="27690405" w14:textId="2F9E2FF2" w:rsidR="00CD0F41" w:rsidRPr="00997670" w:rsidRDefault="00CD0F41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</w:rPr>
              <w:t>Paskolos, biudžeto garantijos, privačių lėšų pritraukimui į tvarią infrastruktūrą (energetika, transportu, žiedine ekonomika, vandeniu, atliekomis ir kita aplinkos infrastruktūra)</w:t>
            </w:r>
          </w:p>
        </w:tc>
        <w:tc>
          <w:tcPr>
            <w:tcW w:w="6662" w:type="dxa"/>
          </w:tcPr>
          <w:p w14:paraId="02CBF981" w14:textId="62A22A9B" w:rsidR="00CD0F41" w:rsidRPr="00997670" w:rsidRDefault="00CD0F41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97670">
              <w:rPr>
                <w:rFonts w:ascii="Times New Roman" w:hAnsi="Times New Roman" w:cs="Times New Roman"/>
                <w:i/>
                <w:iCs/>
              </w:rPr>
              <w:t>Finansavimo projektui galima prašyti nuolat</w:t>
            </w:r>
          </w:p>
        </w:tc>
        <w:tc>
          <w:tcPr>
            <w:tcW w:w="3544" w:type="dxa"/>
          </w:tcPr>
          <w:p w14:paraId="662F7A7D" w14:textId="02497865" w:rsidR="00CD0F41" w:rsidRPr="00997670" w:rsidRDefault="00CD0F41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Finansavimą gali gauti visų dydžių įmonės, viešasis sektorius, regionai, PPP iniciatyvos, ne pelno siekiančios organizacijos.</w:t>
            </w:r>
          </w:p>
        </w:tc>
      </w:tr>
      <w:tr w:rsidR="00F23EDC" w:rsidRPr="00997670" w14:paraId="626B8953" w14:textId="77777777" w:rsidTr="00CA4D15">
        <w:trPr>
          <w:trHeight w:val="389"/>
        </w:trPr>
        <w:tc>
          <w:tcPr>
            <w:tcW w:w="704" w:type="dxa"/>
          </w:tcPr>
          <w:p w14:paraId="3A4BDCC1" w14:textId="0BDE3382" w:rsidR="00F23EDC" w:rsidRPr="00997670" w:rsidRDefault="008C2D70" w:rsidP="00CD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6.</w:t>
            </w:r>
          </w:p>
        </w:tc>
        <w:tc>
          <w:tcPr>
            <w:tcW w:w="1559" w:type="dxa"/>
          </w:tcPr>
          <w:p w14:paraId="0B60A4D8" w14:textId="60B92306" w:rsidR="00F23EDC" w:rsidRPr="00997670" w:rsidRDefault="00F45617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" w:history="1">
              <w:proofErr w:type="spellStart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>Customs</w:t>
              </w:r>
              <w:proofErr w:type="spellEnd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>Programme</w:t>
              </w:r>
              <w:proofErr w:type="spellEnd"/>
            </w:hyperlink>
          </w:p>
        </w:tc>
        <w:tc>
          <w:tcPr>
            <w:tcW w:w="3266" w:type="dxa"/>
          </w:tcPr>
          <w:p w14:paraId="3C010FF7" w14:textId="336A0FFB" w:rsidR="00375ABA" w:rsidRPr="00997670" w:rsidRDefault="00375ABA" w:rsidP="00375ABA">
            <w:pP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Remiama:</w:t>
            </w:r>
          </w:p>
          <w:p w14:paraId="53327EB5" w14:textId="36DB9BCE" w:rsidR="00375ABA" w:rsidRPr="00997670" w:rsidRDefault="00375ABA" w:rsidP="00375ABA">
            <w:pP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1. Muitinės teisinio reglamentavimo paruošimas, politikos praktikos</w:t>
            </w:r>
          </w:p>
          <w:p w14:paraId="4E402006" w14:textId="47D772A4" w:rsidR="00375ABA" w:rsidRPr="00997670" w:rsidRDefault="00375ABA" w:rsidP="00375ABA">
            <w:pP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2. Muitinių bendradarbiavimą</w:t>
            </w:r>
          </w:p>
          <w:p w14:paraId="0B94D147" w14:textId="613883D2" w:rsidR="00375ABA" w:rsidRPr="00997670" w:rsidRDefault="00375ABA" w:rsidP="00375ABA">
            <w:pP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3. Administracinių ir IT gebėjimų stiprinimą, </w:t>
            </w:r>
            <w:proofErr w:type="spellStart"/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E.sistemas</w:t>
            </w:r>
            <w:proofErr w:type="spellEnd"/>
          </w:p>
          <w:p w14:paraId="15A0A5F3" w14:textId="6F0156E1" w:rsidR="00F23EDC" w:rsidRPr="00997670" w:rsidRDefault="00375ABA" w:rsidP="00375ABA">
            <w:pP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4. Inovacijas Muitinės srityje</w:t>
            </w:r>
          </w:p>
        </w:tc>
        <w:tc>
          <w:tcPr>
            <w:tcW w:w="6662" w:type="dxa"/>
          </w:tcPr>
          <w:p w14:paraId="4F0B0696" w14:textId="4BC1026B" w:rsidR="00F23EDC" w:rsidRPr="00997670" w:rsidRDefault="00375ABA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 xml:space="preserve">Šiuo metu nėra paskelbtų kvietimų </w:t>
            </w:r>
            <w:proofErr w:type="spellStart"/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>skaitmeninimo</w:t>
            </w:r>
            <w:proofErr w:type="spellEnd"/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 xml:space="preserve"> srityje</w:t>
            </w:r>
          </w:p>
        </w:tc>
        <w:tc>
          <w:tcPr>
            <w:tcW w:w="3544" w:type="dxa"/>
          </w:tcPr>
          <w:p w14:paraId="750881E1" w14:textId="7E58C731" w:rsidR="00F23EDC" w:rsidRPr="00997670" w:rsidRDefault="00375ABA" w:rsidP="00375ABA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950 mln. Eur 2021-2027 m.</w:t>
            </w:r>
          </w:p>
        </w:tc>
      </w:tr>
      <w:tr w:rsidR="00F23EDC" w:rsidRPr="00997670" w14:paraId="0BD697A6" w14:textId="77777777" w:rsidTr="00CA4D15">
        <w:trPr>
          <w:trHeight w:val="389"/>
        </w:trPr>
        <w:tc>
          <w:tcPr>
            <w:tcW w:w="704" w:type="dxa"/>
          </w:tcPr>
          <w:p w14:paraId="60CE925E" w14:textId="2622D391" w:rsidR="00F23EDC" w:rsidRPr="00997670" w:rsidRDefault="008C2D70" w:rsidP="00CD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7.</w:t>
            </w:r>
          </w:p>
        </w:tc>
        <w:tc>
          <w:tcPr>
            <w:tcW w:w="1559" w:type="dxa"/>
          </w:tcPr>
          <w:p w14:paraId="6FD204D9" w14:textId="1F9DAE47" w:rsidR="00F23EDC" w:rsidRPr="00997670" w:rsidRDefault="00F45617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7" w:history="1">
              <w:proofErr w:type="spellStart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>Fiscalis</w:t>
              </w:r>
              <w:proofErr w:type="spellEnd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>Programme</w:t>
              </w:r>
              <w:proofErr w:type="spellEnd"/>
            </w:hyperlink>
          </w:p>
        </w:tc>
        <w:tc>
          <w:tcPr>
            <w:tcW w:w="3266" w:type="dxa"/>
          </w:tcPr>
          <w:p w14:paraId="6710FDD4" w14:textId="3D35C685" w:rsidR="00F23EDC" w:rsidRPr="00997670" w:rsidRDefault="00575066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97670">
              <w:rPr>
                <w:rFonts w:ascii="Times New Roman" w:hAnsi="Times New Roman" w:cs="Times New Roman"/>
              </w:rPr>
              <w:t xml:space="preserve">Remia mokesčių politiką ir mokesčių politikos teisės įgyvendinimą, institucijų bendradarbiavimą, rinkti duomenis ir informaciją, stiprinti administracinius gebėjimus, </w:t>
            </w:r>
            <w:r w:rsidRPr="00997670">
              <w:rPr>
                <w:rFonts w:ascii="Times New Roman" w:hAnsi="Times New Roman" w:cs="Times New Roman"/>
              </w:rPr>
              <w:lastRenderedPageBreak/>
              <w:t>elektroninių sistemų plėtojimą</w:t>
            </w:r>
          </w:p>
        </w:tc>
        <w:tc>
          <w:tcPr>
            <w:tcW w:w="6662" w:type="dxa"/>
          </w:tcPr>
          <w:p w14:paraId="11E697BE" w14:textId="3D0FF395" w:rsidR="00F23EDC" w:rsidRPr="00997670" w:rsidRDefault="00575066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 xml:space="preserve">Šiuo metu nėra paskelbtų kvietimų </w:t>
            </w:r>
            <w:proofErr w:type="spellStart"/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>skaitmeninimo</w:t>
            </w:r>
            <w:proofErr w:type="spellEnd"/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 xml:space="preserve"> srityje</w:t>
            </w:r>
          </w:p>
        </w:tc>
        <w:tc>
          <w:tcPr>
            <w:tcW w:w="3544" w:type="dxa"/>
          </w:tcPr>
          <w:p w14:paraId="565812D0" w14:textId="1AF97864" w:rsidR="00F23EDC" w:rsidRPr="00997670" w:rsidRDefault="00575066" w:rsidP="00CD0F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Įmanomas mokesčių kontrolės, administravimo ir susijusių sistemų </w:t>
            </w:r>
            <w:proofErr w:type="spellStart"/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skaitmenizavimas</w:t>
            </w:r>
            <w:proofErr w:type="spellEnd"/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, apsikeitimas patirtimi, bendradarbiavimas</w:t>
            </w:r>
          </w:p>
        </w:tc>
      </w:tr>
      <w:tr w:rsidR="00F23EDC" w:rsidRPr="00997670" w14:paraId="65848B0C" w14:textId="77777777" w:rsidTr="00CA4D15">
        <w:trPr>
          <w:trHeight w:val="389"/>
        </w:trPr>
        <w:tc>
          <w:tcPr>
            <w:tcW w:w="704" w:type="dxa"/>
          </w:tcPr>
          <w:p w14:paraId="4C78DEB4" w14:textId="28493C5B" w:rsidR="00F23EDC" w:rsidRPr="00997670" w:rsidRDefault="008C2D70" w:rsidP="00CD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lastRenderedPageBreak/>
              <w:t>8.</w:t>
            </w:r>
          </w:p>
        </w:tc>
        <w:tc>
          <w:tcPr>
            <w:tcW w:w="1559" w:type="dxa"/>
          </w:tcPr>
          <w:p w14:paraId="54047974" w14:textId="2CC36DF3" w:rsidR="00F23EDC" w:rsidRPr="00997670" w:rsidRDefault="00F45617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8" w:history="1">
              <w:proofErr w:type="spellStart"/>
              <w:r w:rsidR="009F0423" w:rsidRPr="00997670">
                <w:rPr>
                  <w:rStyle w:val="Hipersaitas"/>
                  <w:rFonts w:ascii="Times New Roman" w:hAnsi="Times New Roman" w:cs="Times New Roman"/>
                </w:rPr>
                <w:t>Justice</w:t>
              </w:r>
              <w:proofErr w:type="spellEnd"/>
              <w:r w:rsidR="009F0423" w:rsidRPr="00997670">
                <w:rPr>
                  <w:rStyle w:val="Hipersaitas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F0423" w:rsidRPr="00997670">
                <w:rPr>
                  <w:rStyle w:val="Hipersaitas"/>
                  <w:rFonts w:ascii="Times New Roman" w:hAnsi="Times New Roman" w:cs="Times New Roman"/>
                </w:rPr>
                <w:t>Programme</w:t>
              </w:r>
              <w:proofErr w:type="spellEnd"/>
              <w:r w:rsidR="009F0423" w:rsidRPr="00997670">
                <w:rPr>
                  <w:rStyle w:val="Hipersaitas"/>
                  <w:rFonts w:ascii="Times New Roman" w:hAnsi="Times New Roman" w:cs="Times New Roman"/>
                </w:rPr>
                <w:t xml:space="preserve"> / JUST</w:t>
              </w:r>
            </w:hyperlink>
          </w:p>
        </w:tc>
        <w:tc>
          <w:tcPr>
            <w:tcW w:w="3266" w:type="dxa"/>
          </w:tcPr>
          <w:p w14:paraId="67250C1F" w14:textId="77777777" w:rsidR="002B23CD" w:rsidRPr="00997670" w:rsidRDefault="002B23CD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97670">
              <w:rPr>
                <w:rFonts w:ascii="Times New Roman" w:hAnsi="Times New Roman" w:cs="Times New Roman"/>
                <w:noProof/>
              </w:rPr>
              <w:t>Remiama:</w:t>
            </w:r>
          </w:p>
          <w:p w14:paraId="4EA48DE3" w14:textId="3B891C88" w:rsidR="002B23CD" w:rsidRPr="00997670" w:rsidRDefault="002B23CD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97670">
              <w:rPr>
                <w:rFonts w:ascii="Times New Roman" w:hAnsi="Times New Roman" w:cs="Times New Roman"/>
                <w:noProof/>
              </w:rPr>
              <w:t xml:space="preserve">1. Teisiniam bendradarbiavimui civilinės ir kriminalinės teisėsaugos srityse (mokymai) </w:t>
            </w:r>
          </w:p>
          <w:p w14:paraId="4AB43DB8" w14:textId="43151859" w:rsidR="002B23CD" w:rsidRPr="00997670" w:rsidRDefault="002B23CD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97670">
              <w:rPr>
                <w:rFonts w:ascii="Times New Roman" w:hAnsi="Times New Roman" w:cs="Times New Roman"/>
                <w:noProof/>
              </w:rPr>
              <w:t>2. Efektyvių teisės paslaugų prieinamumą verslui ir piliečiams</w:t>
            </w:r>
          </w:p>
        </w:tc>
        <w:tc>
          <w:tcPr>
            <w:tcW w:w="6662" w:type="dxa"/>
          </w:tcPr>
          <w:p w14:paraId="63B27344" w14:textId="23538B72" w:rsidR="00F23EDC" w:rsidRPr="00997670" w:rsidRDefault="009F0423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670">
              <w:rPr>
                <w:rFonts w:ascii="Times New Roman" w:hAnsi="Times New Roman" w:cs="Times New Roman"/>
              </w:rPr>
              <w:t>Finansavimas E-Teisingumo projektams</w:t>
            </w:r>
          </w:p>
          <w:p w14:paraId="7FB088DE" w14:textId="433F8824" w:rsidR="009F0423" w:rsidRPr="00997670" w:rsidRDefault="00F45617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hyperlink r:id="rId29" w:history="1">
              <w:r w:rsidR="0068300B" w:rsidRPr="00D60BEF">
                <w:t xml:space="preserve"> </w:t>
              </w:r>
              <w:r w:rsidR="0068300B" w:rsidRP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Aplikavimo terminas:</w:t>
              </w:r>
              <w:r w:rsidR="0068300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</w:t>
              </w:r>
              <w:r w:rsidR="009F0423" w:rsidRPr="00997670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2023 m. spalio 4 d.</w:t>
              </w:r>
            </w:hyperlink>
          </w:p>
        </w:tc>
        <w:tc>
          <w:tcPr>
            <w:tcW w:w="3544" w:type="dxa"/>
          </w:tcPr>
          <w:p w14:paraId="327FA25D" w14:textId="0FEFB63A" w:rsidR="00F23EDC" w:rsidRPr="00997670" w:rsidRDefault="009F0423" w:rsidP="00CD0F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Kvietimas vyksta reguliariai, 2 kartus per metus 2 temoms: teisingumo sektoriaus </w:t>
            </w:r>
            <w:proofErr w:type="spellStart"/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skaitmeninimui</w:t>
            </w:r>
            <w:proofErr w:type="spellEnd"/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ir žmogaus teisių apsaugai/procesams</w:t>
            </w:r>
          </w:p>
        </w:tc>
      </w:tr>
      <w:tr w:rsidR="00F23EDC" w:rsidRPr="00997670" w14:paraId="42EF297D" w14:textId="77777777" w:rsidTr="00CA4D15">
        <w:trPr>
          <w:trHeight w:val="389"/>
        </w:trPr>
        <w:tc>
          <w:tcPr>
            <w:tcW w:w="704" w:type="dxa"/>
          </w:tcPr>
          <w:p w14:paraId="2A42D036" w14:textId="58C33412" w:rsidR="00F23EDC" w:rsidRPr="00997670" w:rsidRDefault="008C2D70" w:rsidP="00CD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9.</w:t>
            </w:r>
          </w:p>
        </w:tc>
        <w:tc>
          <w:tcPr>
            <w:tcW w:w="1559" w:type="dxa"/>
          </w:tcPr>
          <w:p w14:paraId="603A6AC0" w14:textId="77EA411C" w:rsidR="00F23EDC" w:rsidRPr="00997670" w:rsidRDefault="00F45617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0" w:history="1">
              <w:proofErr w:type="spellStart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>Creative</w:t>
              </w:r>
              <w:proofErr w:type="spellEnd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>Europe</w:t>
              </w:r>
              <w:proofErr w:type="spellEnd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>Programme</w:t>
              </w:r>
              <w:proofErr w:type="spellEnd"/>
              <w:r w:rsidR="00F23EDC" w:rsidRPr="00997670">
                <w:rPr>
                  <w:rStyle w:val="Hipersaitas"/>
                  <w:rFonts w:ascii="Times New Roman" w:hAnsi="Times New Roman" w:cs="Times New Roman"/>
                </w:rPr>
                <w:t xml:space="preserve"> / CRE</w:t>
              </w:r>
            </w:hyperlink>
          </w:p>
        </w:tc>
        <w:tc>
          <w:tcPr>
            <w:tcW w:w="3266" w:type="dxa"/>
          </w:tcPr>
          <w:p w14:paraId="24FF81BD" w14:textId="77777777" w:rsidR="00F23EDC" w:rsidRPr="00997670" w:rsidRDefault="00AA44FF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97670">
              <w:rPr>
                <w:rFonts w:ascii="Times New Roman" w:hAnsi="Times New Roman" w:cs="Times New Roman"/>
                <w:noProof/>
              </w:rPr>
              <w:t>Remiama:</w:t>
            </w:r>
          </w:p>
          <w:p w14:paraId="401A24C1" w14:textId="0C12C7D3" w:rsidR="00AA44FF" w:rsidRPr="00997670" w:rsidRDefault="00AA44FF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97670">
              <w:rPr>
                <w:rFonts w:ascii="Times New Roman" w:hAnsi="Times New Roman" w:cs="Times New Roman"/>
                <w:noProof/>
              </w:rPr>
              <w:t>1. Kultūros sektoriaus iniciatyvas, suinteresuotų šalių bendradarbiavimą, platformas, tinklaveiką, vertimus</w:t>
            </w:r>
            <w:r w:rsidR="0068300B">
              <w:rPr>
                <w:rFonts w:ascii="Times New Roman" w:hAnsi="Times New Roman" w:cs="Times New Roman"/>
                <w:noProof/>
              </w:rPr>
              <w:t>.</w:t>
            </w:r>
          </w:p>
          <w:p w14:paraId="54091718" w14:textId="77777777" w:rsidR="00AA44FF" w:rsidRPr="00997670" w:rsidRDefault="00AA44FF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97670">
              <w:rPr>
                <w:rFonts w:ascii="Times New Roman" w:hAnsi="Times New Roman" w:cs="Times New Roman"/>
                <w:noProof/>
              </w:rPr>
              <w:t>2. MEDIA – audiovizualinio sektoriaus iniciatyvas, vystymą, sklaidą, prieigą prie medijos produktų</w:t>
            </w:r>
          </w:p>
          <w:p w14:paraId="3C1E3E5D" w14:textId="30276B48" w:rsidR="00AA44FF" w:rsidRPr="00997670" w:rsidRDefault="00AA44FF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97670">
              <w:rPr>
                <w:rFonts w:ascii="Times New Roman" w:hAnsi="Times New Roman" w:cs="Times New Roman"/>
                <w:noProof/>
              </w:rPr>
              <w:t>3. Teikia garantijas media projektams, skatina tarptautinį bendradarbiavimą</w:t>
            </w:r>
          </w:p>
        </w:tc>
        <w:tc>
          <w:tcPr>
            <w:tcW w:w="6662" w:type="dxa"/>
          </w:tcPr>
          <w:p w14:paraId="6F4B3DDD" w14:textId="162A78C1" w:rsidR="00F23EDC" w:rsidRPr="00997670" w:rsidRDefault="00AA44FF" w:rsidP="00CD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 xml:space="preserve">Šiuo metu nėra paskelbtų kvietimų </w:t>
            </w:r>
            <w:proofErr w:type="spellStart"/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>skaitmeninimo</w:t>
            </w:r>
            <w:proofErr w:type="spellEnd"/>
            <w:r w:rsidRPr="00997670">
              <w:rPr>
                <w:rFonts w:ascii="Times New Roman" w:hAnsi="Times New Roman" w:cs="Times New Roman"/>
                <w:i/>
                <w:iCs/>
                <w:u w:val="single"/>
              </w:rPr>
              <w:t xml:space="preserve"> srityje</w:t>
            </w:r>
          </w:p>
        </w:tc>
        <w:tc>
          <w:tcPr>
            <w:tcW w:w="3544" w:type="dxa"/>
          </w:tcPr>
          <w:p w14:paraId="34913D73" w14:textId="1E1BA874" w:rsidR="00F23EDC" w:rsidRPr="00997670" w:rsidRDefault="00AA44FF" w:rsidP="00CD0F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Įmanomi kvietimai kultūros sektoriaus </w:t>
            </w:r>
            <w:proofErr w:type="spellStart"/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skaitmeninimo</w:t>
            </w:r>
            <w:proofErr w:type="spellEnd"/>
            <w:r w:rsidRPr="0099767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srityje</w:t>
            </w:r>
          </w:p>
        </w:tc>
      </w:tr>
    </w:tbl>
    <w:p w14:paraId="09EA7D74" w14:textId="77777777" w:rsidR="00CD0F41" w:rsidRPr="00997670" w:rsidRDefault="00CD0F41">
      <w:pPr>
        <w:rPr>
          <w:rFonts w:ascii="Times New Roman" w:hAnsi="Times New Roman" w:cs="Times New Roman"/>
        </w:rPr>
      </w:pPr>
    </w:p>
    <w:sectPr w:rsidR="00CD0F41" w:rsidRPr="00997670" w:rsidSect="00CD0F4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C767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9E1F3" w16cex:dateUtc="2023-06-18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C7678A" w16cid:durableId="2839E1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DD0"/>
    <w:multiLevelType w:val="hybridMultilevel"/>
    <w:tmpl w:val="31782EE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E17B27"/>
    <w:multiLevelType w:val="hybridMultilevel"/>
    <w:tmpl w:val="09E05B6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39363C"/>
    <w:multiLevelType w:val="multilevel"/>
    <w:tmpl w:val="A744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a">
    <w15:presenceInfo w15:providerId="AD" w15:userId="S::Simona.Daukilaite@finmin.lt::4489f952-7d2a-41f6-b8ed-4d022057a2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AE"/>
    <w:rsid w:val="000F411F"/>
    <w:rsid w:val="0018623E"/>
    <w:rsid w:val="0019566A"/>
    <w:rsid w:val="001C7EA9"/>
    <w:rsid w:val="00232776"/>
    <w:rsid w:val="002B23CD"/>
    <w:rsid w:val="00340126"/>
    <w:rsid w:val="00375A5F"/>
    <w:rsid w:val="00375ABA"/>
    <w:rsid w:val="00421EC9"/>
    <w:rsid w:val="00422677"/>
    <w:rsid w:val="004E3E90"/>
    <w:rsid w:val="005301C5"/>
    <w:rsid w:val="00575066"/>
    <w:rsid w:val="005A100A"/>
    <w:rsid w:val="006278B1"/>
    <w:rsid w:val="0068300B"/>
    <w:rsid w:val="007479E0"/>
    <w:rsid w:val="007E52F1"/>
    <w:rsid w:val="008A72AE"/>
    <w:rsid w:val="008C1F67"/>
    <w:rsid w:val="008C2D70"/>
    <w:rsid w:val="009112F1"/>
    <w:rsid w:val="00942D3E"/>
    <w:rsid w:val="00982ADE"/>
    <w:rsid w:val="00997670"/>
    <w:rsid w:val="009D767B"/>
    <w:rsid w:val="009F0423"/>
    <w:rsid w:val="00A334E3"/>
    <w:rsid w:val="00A34E0E"/>
    <w:rsid w:val="00A6062F"/>
    <w:rsid w:val="00A724C9"/>
    <w:rsid w:val="00AA44FF"/>
    <w:rsid w:val="00CA4D15"/>
    <w:rsid w:val="00CD0D8C"/>
    <w:rsid w:val="00CD0F41"/>
    <w:rsid w:val="00D671C4"/>
    <w:rsid w:val="00E05EED"/>
    <w:rsid w:val="00F23EDC"/>
    <w:rsid w:val="00F45617"/>
    <w:rsid w:val="00F46624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6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34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334E3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334E3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39"/>
    <w:rsid w:val="00CD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0F41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F0423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semiHidden/>
    <w:unhideWhenUsed/>
    <w:rsid w:val="003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78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278B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278B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78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78B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34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334E3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334E3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39"/>
    <w:rsid w:val="00CD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0F41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F0423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semiHidden/>
    <w:unhideWhenUsed/>
    <w:rsid w:val="003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78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278B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278B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78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78B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info/funding-tenders/opportunities/portal/screen/opportunities/topic-details/digital-2023-deploy-04-edmo-hubs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8" Type="http://schemas.openxmlformats.org/officeDocument/2006/relationships/hyperlink" Target="https://ec.europa.eu/info/funding-tenders/opportunities/portal/screen/opportunities/topic-details/digital-2023-skills-04-semiconductors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6" Type="http://schemas.openxmlformats.org/officeDocument/2006/relationships/hyperlink" Target="https://taxation-customs.ec.europa.eu/eu-funding-customs-and-tax/customs-programme_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.europa.eu/info/funding-tenders/opportunities/portal/screen/opportunities/topic-details/i3-2023-inv2a;callCode=null;freeTextSearchKeyword=;matchWholeText=true;typeCodes=0,1,2,8;statusCodes=31094501,31094502;programmePeriod=2021%20-%202027;programCcm2Id=44416173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34" Type="http://schemas.microsoft.com/office/2011/relationships/commentsExtended" Target="commentsExtended.xml"/><Relationship Id="rId7" Type="http://schemas.openxmlformats.org/officeDocument/2006/relationships/hyperlink" Target="https://digital-strategy.ec.europa.eu/en/activities/digital-programme" TargetMode="External"/><Relationship Id="rId12" Type="http://schemas.openxmlformats.org/officeDocument/2006/relationships/hyperlink" Target="https://ec.europa.eu/info/funding-tenders/opportunities/portal/screen/opportunities/topic-details/digital-eccc-2022-cyber-b-03-cyber-resilience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7" Type="http://schemas.openxmlformats.org/officeDocument/2006/relationships/hyperlink" Target="https://ec.europa.eu/info/funding-tenders/opportunities/portal/screen/opportunities/topic-details/digital-2023-skills-04-boostingdigit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5" Type="http://schemas.openxmlformats.org/officeDocument/2006/relationships/hyperlink" Target="https://investeu.europa.eu/index_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funding-tenders/opportunities/portal/screen/opportunities/topic-details/digital-2023-program-support-04-network-ncps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0" Type="http://schemas.openxmlformats.org/officeDocument/2006/relationships/hyperlink" Target="https://ec.europa.eu/info/funding-tenders/opportunities/portal/screen/opportunities/topic-details/i3-2023-inv1;callCode=null;freeTextSearchKeyword=;matchWholeText=true;typeCodes=0,1,2,8;statusCodes=31094501,31094502;programmePeriod=2021%20-%202027;programCcm2Id=44416173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9" Type="http://schemas.openxmlformats.org/officeDocument/2006/relationships/hyperlink" Target="https://ec.europa.eu/info/funding-tenders/opportunities/portal/screen/opportunities/topic-details/just-2023-jacc-ejustice;callCode=null;freeTextSearchKeyword=;matchWholeText=true;typeCodes=0,1,2,8;statusCodes=31094501,31094502;programmePeriod=2021%20-%202027;programCcm2Id=43252386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info/funding-tenders/opportunities/portal/screen/opportunities/topic-details/digital-eccc-2022-cyber-b-03-soc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4" Type="http://schemas.openxmlformats.org/officeDocument/2006/relationships/hyperlink" Target="https://cinea.ec.europa.eu/programmes/connecting-europe-facility_en" TargetMode="External"/><Relationship Id="rId32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ec.europa.eu/info/funding-tenders/opportunities/portal/screen/opportunities/topic-details/digital-eccc-2023-deploy-cyber-04-support-assist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3" Type="http://schemas.openxmlformats.org/officeDocument/2006/relationships/hyperlink" Target="https://reform-support.ec.europa.eu/system/files/2021-03/2020.2329-final-web.pdf" TargetMode="External"/><Relationship Id="rId28" Type="http://schemas.openxmlformats.org/officeDocument/2006/relationships/hyperlink" Target="https://commission.europa.eu/funding-tenders/find-funding/eu-funding-programmes/justice-programme_en" TargetMode="External"/><Relationship Id="rId36" Type="http://schemas.microsoft.com/office/2011/relationships/people" Target="people.xml"/><Relationship Id="rId10" Type="http://schemas.openxmlformats.org/officeDocument/2006/relationships/hyperlink" Target="https://ec.europa.eu/info/funding-tenders/opportunities/portal/screen/opportunities/topic-details/digital-eccc-2023-deploy-cyber-04-civil-defence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9" Type="http://schemas.openxmlformats.org/officeDocument/2006/relationships/hyperlink" Target="https://eismea.ec.europa.eu/programmes/interregional-innovation-investments-i3-instrument_e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info/funding-tenders/opportunities/portal/screen/opportunities/topic-details/digital-eccc-2022-cyber-b-03-uptake-cybersolutions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4" Type="http://schemas.openxmlformats.org/officeDocument/2006/relationships/hyperlink" Target="https://ec.europa.eu/info/funding-tenders/opportunities/portal/screen/opportunities/topic-details/digital-2023-deploy-04-network-of-sics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2" Type="http://schemas.openxmlformats.org/officeDocument/2006/relationships/hyperlink" Target="https://ec.europa.eu/commission/presscorner/detail/en/qanda_21_746" TargetMode="External"/><Relationship Id="rId27" Type="http://schemas.openxmlformats.org/officeDocument/2006/relationships/hyperlink" Target="https://taxation-customs.ec.europa.eu/eu-funding-customs-and-tax/fiscalis-programme_en" TargetMode="External"/><Relationship Id="rId30" Type="http://schemas.openxmlformats.org/officeDocument/2006/relationships/hyperlink" Target="https://culture.ec.europa.eu/creative-europe" TargetMode="External"/><Relationship Id="rId35" Type="http://schemas.microsoft.com/office/2018/08/relationships/commentsExtensible" Target="commentsExtensible.xml"/><Relationship Id="rId8" Type="http://schemas.openxmlformats.org/officeDocument/2006/relationships/hyperlink" Target="https://ec.europa.eu/info/funding-tenders/opportunities/portal/screen/opportunities/topic-details/digital-2023-cloud-ai-04-aerosec;callCode=null;freeTextSearchKeyword=;matchWholeText=true;typeCodes=0,1,2,8;statusCodes=31094501,31094502;programmePeriod=2021%20-%202027;programCcm2Id=4315286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C29F-7A39-4AE7-89CC-65D5C7B5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10923</Words>
  <Characters>6227</Characters>
  <Application>Microsoft Office Word</Application>
  <DocSecurity>0</DocSecurity>
  <Lines>51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Gratulevičius</dc:creator>
  <cp:keywords/>
  <dc:description/>
  <cp:lastModifiedBy>Matas Cancingeris</cp:lastModifiedBy>
  <cp:revision>40</cp:revision>
  <dcterms:created xsi:type="dcterms:W3CDTF">2023-05-30T15:49:00Z</dcterms:created>
  <dcterms:modified xsi:type="dcterms:W3CDTF">2023-06-20T06:53:00Z</dcterms:modified>
</cp:coreProperties>
</file>